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687" w:rsidR="00F12D47" w:rsidRDefault="00D32687" w14:paraId="45BAF403" w14:textId="0050DE3D">
      <w:pPr>
        <w:rPr>
          <w:b/>
          <w:bCs/>
        </w:rPr>
      </w:pPr>
      <w:r w:rsidRPr="00D32687">
        <w:rPr>
          <w:b/>
          <w:bCs/>
        </w:rPr>
        <w:t xml:space="preserve">Minnesanteckning från Partsgemensamt forum den 2 december 2025 </w:t>
      </w:r>
    </w:p>
    <w:p w:rsidRPr="00DF495D" w:rsidR="00D32687" w:rsidRDefault="00D32687" w14:paraId="2FDEA3A8" w14:textId="3587CB78">
      <w:pPr>
        <w:rPr>
          <w:b/>
          <w:bCs/>
          <w:sz w:val="28"/>
          <w:szCs w:val="28"/>
        </w:rPr>
      </w:pPr>
      <w:r w:rsidRPr="00DF495D">
        <w:rPr>
          <w:b/>
          <w:bCs/>
          <w:sz w:val="28"/>
          <w:szCs w:val="28"/>
        </w:rPr>
        <w:t>Inledning (presidiet)</w:t>
      </w:r>
    </w:p>
    <w:p w:rsidR="00D32687" w:rsidRDefault="00D32687" w14:paraId="44D40A5C" w14:textId="53E78ADC">
      <w:r>
        <w:t xml:space="preserve">Irene Oskarsson, ordförande för PGF öppnade mötet och hälsade samtliga deltagare välkomna. Där efter presenterades statssekreteraren Johan Berggren, Försvarsdepartementet, som deltog på mötet. </w:t>
      </w:r>
    </w:p>
    <w:p w:rsidRPr="00DF495D" w:rsidR="00D32687" w:rsidP="00D32687" w:rsidRDefault="00D32687" w14:paraId="00F24B70" w14:textId="1D1183A2">
      <w:pPr>
        <w:spacing w:before="100" w:beforeAutospacing="1" w:after="100" w:afterAutospacing="1" w:line="240" w:lineRule="auto"/>
        <w:outlineLvl w:val="2"/>
        <w:rPr>
          <w:rFonts w:eastAsia="Times New Roman" w:cs="Times New Roman"/>
          <w:b/>
          <w:bCs/>
          <w:kern w:val="0"/>
          <w:sz w:val="28"/>
          <w:szCs w:val="28"/>
          <w:lang w:eastAsia="sv-SE"/>
          <w14:ligatures w14:val="none"/>
        </w:rPr>
      </w:pPr>
      <w:r w:rsidRPr="00D32687">
        <w:rPr>
          <w:rFonts w:eastAsia="Times New Roman" w:cs="Times New Roman"/>
          <w:b/>
          <w:bCs/>
          <w:kern w:val="0"/>
          <w:sz w:val="28"/>
          <w:szCs w:val="28"/>
          <w:lang w:eastAsia="sv-SE"/>
          <w14:ligatures w14:val="none"/>
        </w:rPr>
        <w:t>Presentation: Civilt försvar och civilsamhällets roll</w:t>
      </w:r>
    </w:p>
    <w:p w:rsidRPr="00D32687" w:rsidR="00D32687" w:rsidP="00D32687" w:rsidRDefault="00D32687" w14:paraId="68F85580" w14:textId="25C9F78B">
      <w:pPr>
        <w:pStyle w:val="p2"/>
        <w:rPr>
          <w:rFonts w:asciiTheme="minorHAnsi" w:hAnsiTheme="minorHAnsi"/>
        </w:rPr>
      </w:pPr>
      <w:r w:rsidRPr="00D32687">
        <w:rPr>
          <w:rFonts w:asciiTheme="minorHAnsi" w:hAnsiTheme="minorHAnsi"/>
        </w:rPr>
        <w:t>Statssekreterare Johan Berggren</w:t>
      </w:r>
      <w:r>
        <w:rPr>
          <w:rFonts w:asciiTheme="minorHAnsi" w:hAnsiTheme="minorHAnsi"/>
        </w:rPr>
        <w:t xml:space="preserve"> </w:t>
      </w:r>
      <w:r w:rsidRPr="00D32687">
        <w:rPr>
          <w:rFonts w:asciiTheme="minorHAnsi" w:hAnsiTheme="minorHAnsi"/>
        </w:rPr>
        <w:t xml:space="preserve">redogjorde för det allvarliga säkerhetspolitiska läget och den överenskommelsen om en historisk upprustning av totalförsvaret. Han beskrev satsningarna på både militärt och civilt försvar och betonade att </w:t>
      </w:r>
      <w:r>
        <w:rPr>
          <w:rFonts w:asciiTheme="minorHAnsi" w:hAnsiTheme="minorHAnsi"/>
        </w:rPr>
        <w:t xml:space="preserve">om krisen eller </w:t>
      </w:r>
      <w:r w:rsidR="006D33E1">
        <w:rPr>
          <w:rFonts w:asciiTheme="minorHAnsi" w:hAnsiTheme="minorHAnsi"/>
        </w:rPr>
        <w:t>kriget</w:t>
      </w:r>
      <w:r>
        <w:rPr>
          <w:rFonts w:asciiTheme="minorHAnsi" w:hAnsiTheme="minorHAnsi"/>
        </w:rPr>
        <w:t xml:space="preserve"> kommer, </w:t>
      </w:r>
      <w:r w:rsidRPr="00D32687">
        <w:rPr>
          <w:rFonts w:asciiTheme="minorHAnsi" w:hAnsiTheme="minorHAnsi"/>
        </w:rPr>
        <w:t xml:space="preserve">kräver </w:t>
      </w:r>
      <w:r>
        <w:rPr>
          <w:rFonts w:asciiTheme="minorHAnsi" w:hAnsiTheme="minorHAnsi"/>
        </w:rPr>
        <w:t xml:space="preserve">det en </w:t>
      </w:r>
      <w:r w:rsidRPr="00D32687">
        <w:rPr>
          <w:rFonts w:asciiTheme="minorHAnsi" w:hAnsiTheme="minorHAnsi"/>
        </w:rPr>
        <w:t>enighet, handlingskraft och bred samhällelig delaktighet.</w:t>
      </w:r>
    </w:p>
    <w:p w:rsidRPr="00D32687" w:rsidR="00D32687" w:rsidP="00D32687" w:rsidRDefault="00D32687" w14:paraId="650450A0" w14:textId="26394362">
      <w:pPr>
        <w:pStyle w:val="p2"/>
        <w:rPr>
          <w:rFonts w:asciiTheme="minorHAnsi" w:hAnsiTheme="minorHAnsi"/>
        </w:rPr>
      </w:pPr>
      <w:r w:rsidRPr="00D32687">
        <w:rPr>
          <w:rFonts w:asciiTheme="minorHAnsi" w:hAnsiTheme="minorHAnsi"/>
        </w:rPr>
        <w:t>Berggren presenterade målet för det civila försvaret, som är att Sverige ska ha förmåga att säkerställa de viktigaste samhällsfunktionerna, bidra till det militära försvarets förmåga inom ramen för Natos kollektiva försvar, skydda civilbefolkningen samt upprätthålla försvarsviljan och samhällets motståndskraft mot externa påtryckningar.</w:t>
      </w:r>
    </w:p>
    <w:p w:rsidRPr="00D32687" w:rsidR="00D32687" w:rsidP="00D32687" w:rsidRDefault="00D32687" w14:paraId="2408AAD6" w14:textId="6D68E7B6">
      <w:r w:rsidRPr="00D32687">
        <w:t>Vidare lyfte han civilsamhällets betydelse som en central del av den samlade förmågan inom totalförsvaret. Civilsamhället bidrar genom att främja dialog och samverkan mellan olika aktörer, stärka förtroende och tillit i samhället, tidigt identifiera behov och påbörja kraftsamling vid samhällsutmaningar samt genom sin förmåga att snabbt anpassa verksamhet och ställa om utifrån förändrade förutsättningar.</w:t>
      </w:r>
      <w:r>
        <w:t xml:space="preserve"> </w:t>
      </w:r>
      <w:r>
        <w:t xml:space="preserve">Presenterade även de medel som finns att söka till genomförande av projekt som MSB tillhandahåller kopplat till beredskap och betonade även de frivilliga försvarsorganisationernas centrala roll i beredskapsarbetet. </w:t>
      </w:r>
    </w:p>
    <w:p w:rsidRPr="00C73817" w:rsidR="00D32687" w:rsidP="00D32687" w:rsidRDefault="00D32687" w14:paraId="7B8E9B72" w14:textId="5CAB6F12">
      <w:pPr>
        <w:pStyle w:val="p2"/>
        <w:rPr>
          <w:rFonts w:asciiTheme="minorHAnsi" w:hAnsiTheme="minorHAnsi"/>
        </w:rPr>
      </w:pPr>
      <w:r w:rsidRPr="00C73817">
        <w:rPr>
          <w:rFonts w:asciiTheme="minorHAnsi" w:hAnsiTheme="minorHAnsi"/>
        </w:rPr>
        <w:t>Statssekreteraren betonade även sambandet mellan kommunikation och försvarsvilja och framhöll att Sveriges historiskt höga försvarsvilja inte kan tas för given. Ett tydligt och sammanhållet budskap från staten, tillsammans med ett aktivt civilsamhälle, är avgörande för att stärka motståndskraften i samhället. Presentationen följdes av frågor och dialog med deltagarna.</w:t>
      </w:r>
    </w:p>
    <w:p w:rsidRPr="00D32687" w:rsidR="00D32687" w:rsidP="00D32687" w:rsidRDefault="00D32687" w14:paraId="4077E904" w14:textId="0D881C14">
      <w:pPr>
        <w:spacing w:before="100" w:beforeAutospacing="1" w:after="100" w:afterAutospacing="1" w:line="240" w:lineRule="auto"/>
        <w:outlineLvl w:val="2"/>
        <w:rPr>
          <w:rFonts w:eastAsia="Times New Roman" w:cs="Times New Roman"/>
          <w:b/>
          <w:bCs/>
          <w:kern w:val="0"/>
          <w:sz w:val="28"/>
          <w:szCs w:val="28"/>
          <w:lang w:eastAsia="sv-SE"/>
          <w14:ligatures w14:val="none"/>
        </w:rPr>
      </w:pPr>
      <w:r w:rsidRPr="00D32687">
        <w:rPr>
          <w:rFonts w:eastAsia="Times New Roman" w:cs="Times New Roman"/>
          <w:b/>
          <w:bCs/>
          <w:kern w:val="0"/>
          <w:sz w:val="28"/>
          <w:szCs w:val="28"/>
          <w:lang w:eastAsia="sv-SE"/>
          <w14:ligatures w14:val="none"/>
        </w:rPr>
        <w:t>Presentation av dagens tema</w:t>
      </w:r>
    </w:p>
    <w:p w:rsidRPr="00C73817" w:rsidR="00D32687" w:rsidP="00D32687" w:rsidRDefault="00D32687" w14:paraId="53331A64" w14:textId="10A1762E">
      <w:pPr>
        <w:spacing w:before="100" w:beforeAutospacing="1" w:after="100" w:afterAutospacing="1" w:line="240" w:lineRule="auto"/>
        <w:rPr>
          <w:rFonts w:eastAsia="Times New Roman" w:cs="Times New Roman"/>
          <w:kern w:val="0"/>
          <w:lang w:eastAsia="sv-SE"/>
          <w14:ligatures w14:val="none"/>
        </w:rPr>
      </w:pPr>
      <w:r w:rsidRPr="00D32687">
        <w:rPr>
          <w:rFonts w:eastAsia="Times New Roman" w:cs="Times New Roman"/>
          <w:kern w:val="0"/>
          <w:lang w:eastAsia="sv-SE"/>
          <w14:ligatures w14:val="none"/>
        </w:rPr>
        <w:t xml:space="preserve">Planeringsgruppen presenterade därefter dagens tema </w:t>
      </w:r>
      <w:r w:rsidRPr="00D32687">
        <w:rPr>
          <w:rFonts w:eastAsia="Times New Roman" w:cs="Times New Roman"/>
          <w:i/>
          <w:iCs/>
          <w:kern w:val="0"/>
          <w:lang w:eastAsia="sv-SE"/>
          <w14:ligatures w14:val="none"/>
        </w:rPr>
        <w:t xml:space="preserve">Engagemang i förändring </w:t>
      </w:r>
      <w:r w:rsidRPr="00C73817">
        <w:rPr>
          <w:rFonts w:eastAsia="Times New Roman" w:cs="Times New Roman"/>
          <w:i/>
          <w:iCs/>
          <w:kern w:val="0"/>
          <w:lang w:eastAsia="sv-SE"/>
          <w14:ligatures w14:val="none"/>
        </w:rPr>
        <w:t>-</w:t>
      </w:r>
      <w:r w:rsidRPr="00D32687">
        <w:rPr>
          <w:rFonts w:eastAsia="Times New Roman" w:cs="Times New Roman"/>
          <w:i/>
          <w:iCs/>
          <w:kern w:val="0"/>
          <w:lang w:eastAsia="sv-SE"/>
          <w14:ligatures w14:val="none"/>
        </w:rPr>
        <w:t xml:space="preserve"> från siffror till verklighet</w:t>
      </w:r>
      <w:r w:rsidRPr="00D32687">
        <w:rPr>
          <w:rFonts w:eastAsia="Times New Roman" w:cs="Times New Roman"/>
          <w:kern w:val="0"/>
          <w:lang w:eastAsia="sv-SE"/>
          <w14:ligatures w14:val="none"/>
        </w:rPr>
        <w:t xml:space="preserve"> samt de frågeställningar som låg till grund för gruppdiskussionerna. Utgångspunkten var att engagemangets former förändras och att detta påverkar både civilsamhällets organisering och statens sätt att </w:t>
      </w:r>
      <w:r w:rsidRPr="00C73817">
        <w:rPr>
          <w:rFonts w:eastAsia="Times New Roman" w:cs="Times New Roman"/>
          <w:kern w:val="0"/>
          <w:lang w:eastAsia="sv-SE"/>
          <w14:ligatures w14:val="none"/>
        </w:rPr>
        <w:t xml:space="preserve">fortsätta </w:t>
      </w:r>
      <w:r w:rsidRPr="00D32687">
        <w:rPr>
          <w:rFonts w:eastAsia="Times New Roman" w:cs="Times New Roman"/>
          <w:kern w:val="0"/>
          <w:lang w:eastAsia="sv-SE"/>
          <w14:ligatures w14:val="none"/>
        </w:rPr>
        <w:t>möta och stödja engagemang.</w:t>
      </w:r>
    </w:p>
    <w:p w:rsidRPr="00C73817" w:rsidR="00D32687" w:rsidP="00D32687" w:rsidRDefault="003222D5" w14:paraId="2840EE9E" w14:textId="018A94CF">
      <w:pPr>
        <w:spacing w:before="100" w:beforeAutospacing="1" w:after="100" w:afterAutospacing="1" w:line="240" w:lineRule="auto"/>
        <w:rPr>
          <w:rFonts w:eastAsia="Times New Roman" w:cs="Times New Roman"/>
          <w:b/>
          <w:bCs/>
          <w:kern w:val="0"/>
          <w:lang w:eastAsia="sv-SE"/>
          <w14:ligatures w14:val="none"/>
        </w:rPr>
      </w:pPr>
      <w:r w:rsidRPr="00C73817">
        <w:rPr>
          <w:rFonts w:eastAsia="Times New Roman" w:cs="Times New Roman"/>
          <w:b/>
          <w:bCs/>
          <w:kern w:val="0"/>
          <w:lang w:eastAsia="sv-SE"/>
          <w14:ligatures w14:val="none"/>
        </w:rPr>
        <w:t xml:space="preserve">Dialog kring erfarenheter av engagemang i förändring, från siffror till verklighet </w:t>
      </w:r>
    </w:p>
    <w:p w:rsidRPr="003222D5" w:rsidR="003222D5" w:rsidP="00DF495D" w:rsidRDefault="003222D5" w14:paraId="740AB37F" w14:textId="60392BA6">
      <w:pPr>
        <w:spacing w:after="0" w:line="240" w:lineRule="auto"/>
        <w:rPr>
          <w:rFonts w:eastAsia="Times New Roman" w:cs="Times New Roman"/>
          <w:color w:val="0E0E0E"/>
          <w:kern w:val="0"/>
          <w:sz w:val="28"/>
          <w:szCs w:val="28"/>
          <w:lang w:eastAsia="sv-SE"/>
          <w14:ligatures w14:val="none"/>
        </w:rPr>
      </w:pPr>
      <w:r w:rsidRPr="003222D5">
        <w:rPr>
          <w:rFonts w:eastAsia="Times New Roman" w:cs="Times New Roman"/>
          <w:color w:val="0E0E0E"/>
          <w:kern w:val="0"/>
          <w:lang w:eastAsia="sv-SE"/>
          <w14:ligatures w14:val="none"/>
        </w:rPr>
        <w:t xml:space="preserve">Deltagarna delades in i </w:t>
      </w:r>
      <w:r w:rsidRPr="00C73817">
        <w:rPr>
          <w:rFonts w:eastAsia="Times New Roman" w:cs="Times New Roman"/>
          <w:color w:val="0E0E0E"/>
          <w:kern w:val="0"/>
          <w:lang w:eastAsia="sv-SE"/>
          <w14:ligatures w14:val="none"/>
        </w:rPr>
        <w:t>mindre fyra</w:t>
      </w:r>
      <w:r w:rsidRPr="003222D5">
        <w:rPr>
          <w:rFonts w:eastAsia="Times New Roman" w:cs="Times New Roman"/>
          <w:color w:val="0E0E0E"/>
          <w:kern w:val="0"/>
          <w:lang w:eastAsia="sv-SE"/>
          <w14:ligatures w14:val="none"/>
        </w:rPr>
        <w:t xml:space="preserve"> grupper för att diskutera de sedan tidigare fastställda frågeställningarna. Syftet med dialogen var att belysa hur förändrade former </w:t>
      </w:r>
      <w:r w:rsidRPr="003222D5">
        <w:rPr>
          <w:rFonts w:eastAsia="Times New Roman" w:cs="Times New Roman"/>
          <w:color w:val="0E0E0E"/>
          <w:kern w:val="0"/>
          <w:lang w:eastAsia="sv-SE"/>
          <w14:ligatures w14:val="none"/>
        </w:rPr>
        <w:lastRenderedPageBreak/>
        <w:t>för engagemang påverkar civilsamhällets möjligheter att rekrytera, organisera och behålla engagemang, samt hur dessa förändringar kan mötas av både civilsamhället och det offentliga. Diskussionerna tog även sin utgångspunkt i hur statens stöd och styrning kan utformas för att skapa både stabilitet och flexibilitet, med målet att stärka engagemangets betydelse för demokratin och samhällsutvecklingen.</w:t>
      </w:r>
      <w:r w:rsidR="00DF495D">
        <w:rPr>
          <w:rFonts w:eastAsia="Times New Roman" w:cs="Times New Roman"/>
          <w:color w:val="0E0E0E"/>
          <w:kern w:val="0"/>
          <w:lang w:eastAsia="sv-SE"/>
          <w14:ligatures w14:val="none"/>
        </w:rPr>
        <w:br/>
      </w:r>
    </w:p>
    <w:p w:rsidRPr="003222D5" w:rsidR="003222D5" w:rsidP="003222D5" w:rsidRDefault="003222D5" w14:paraId="46BC6B4D" w14:textId="25118962">
      <w:pPr>
        <w:spacing w:before="100" w:beforeAutospacing="1" w:after="100" w:afterAutospacing="1" w:line="240" w:lineRule="auto"/>
        <w:outlineLvl w:val="2"/>
        <w:rPr>
          <w:rFonts w:eastAsia="Times New Roman" w:cs="Times New Roman"/>
          <w:i/>
          <w:iCs/>
          <w:kern w:val="0"/>
          <w:sz w:val="28"/>
          <w:szCs w:val="28"/>
          <w:lang w:eastAsia="sv-SE"/>
          <w14:ligatures w14:val="none"/>
        </w:rPr>
      </w:pPr>
      <w:r w:rsidRPr="003222D5">
        <w:rPr>
          <w:rFonts w:eastAsia="Times New Roman" w:cs="Times New Roman"/>
          <w:i/>
          <w:iCs/>
          <w:kern w:val="0"/>
          <w:sz w:val="28"/>
          <w:szCs w:val="28"/>
          <w:lang w:eastAsia="sv-SE"/>
          <w14:ligatures w14:val="none"/>
        </w:rPr>
        <w:t>Fråga 1: Hur påverkar de nya engagemangsformerna organisationernas möjligheter att rekrytera, organisera och behålla engagemang?</w:t>
      </w:r>
      <w:r w:rsidR="00DF495D">
        <w:rPr>
          <w:rFonts w:eastAsia="Times New Roman" w:cs="Times New Roman"/>
          <w:i/>
          <w:iCs/>
          <w:kern w:val="0"/>
          <w:sz w:val="28"/>
          <w:szCs w:val="28"/>
          <w:lang w:eastAsia="sv-SE"/>
          <w14:ligatures w14:val="none"/>
        </w:rPr>
        <w:br/>
      </w:r>
    </w:p>
    <w:p w:rsidRPr="003222D5" w:rsidR="003222D5" w:rsidP="003222D5" w:rsidRDefault="003222D5" w14:paraId="13052F37" w14:textId="46E0F0CA">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Engagemangets förändrade uttryck och samtidiga styrka</w:t>
      </w:r>
      <w:r w:rsidR="00D63142">
        <w:rPr>
          <w:rFonts w:eastAsia="Times New Roman" w:cs="Times New Roman"/>
          <w:kern w:val="0"/>
          <w:lang w:eastAsia="sv-SE"/>
          <w14:ligatures w14:val="none"/>
        </w:rPr>
        <w:br/>
      </w:r>
      <w:r w:rsidR="00D63142">
        <w:rPr>
          <w:rFonts w:eastAsia="Times New Roman" w:cs="Times New Roman"/>
          <w:kern w:val="0"/>
          <w:lang w:eastAsia="sv-SE"/>
          <w14:ligatures w14:val="none"/>
        </w:rPr>
        <w:br/>
      </w:r>
      <w:r w:rsidRPr="003222D5">
        <w:rPr>
          <w:rFonts w:eastAsia="Times New Roman" w:cs="Times New Roman"/>
          <w:kern w:val="0"/>
          <w:lang w:eastAsia="sv-SE"/>
          <w14:ligatures w14:val="none"/>
        </w:rPr>
        <w:t>I gruppdiskussionerna framkom en samstämmig bild av att engagemanget i civilsamhället i grunden är starkt och i flera avseenden har ökat. Samtidigt har formerna för engagemang förändrats. Allt fler engagerar sig i specifika frågor, aktiviteter eller sammanhang snarare än genom långsiktigt medlemskap eller formella uppdrag. Engagemanget beskrevs som mer situationsbundet, tidsbegränsat och värderingsdrivet, särskilt bland unga.</w:t>
      </w:r>
    </w:p>
    <w:p w:rsidRPr="003222D5" w:rsidR="003222D5" w:rsidP="003222D5" w:rsidRDefault="003222D5" w14:paraId="62E87B4B" w14:textId="182F6234">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Det framhölls att många vill bidra där engagemanget uppstår, men tvekar inför ansvar som upplevs som omfattande eller långvarigt. Detta påverkar civilsamhällets möjligheter att bemanna styrelser och andra bärande funktioner samt att säkerställa kontinuitet över tid.</w:t>
      </w:r>
    </w:p>
    <w:p w:rsidRPr="003222D5" w:rsidR="003222D5" w:rsidP="003222D5" w:rsidRDefault="003222D5" w14:paraId="0BCED1C7"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Föreningsdemokrati, struktur och handlingsutrymme</w:t>
      </w:r>
    </w:p>
    <w:p w:rsidRPr="003222D5" w:rsidR="003222D5" w:rsidP="003222D5" w:rsidRDefault="003222D5" w14:paraId="2EBED918" w14:textId="042E6606">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Civilsamhället betonade att föreningsdemokrati och demokratisk värdegrund är en grundförutsättning för legitimitet och långsiktig utveckling. Samtidigt lyftes att demokratiska strukturer inte behöver vara liktydiga med tunga eller låsta former. Inom ramen för föreningsdemokratin finns ett betydande handlingsutrymme att organisera engagemang på olika sätt, exempelvis genom arbetsgrupper, avgränsade roller och flexibla ansvarsfördelningar.</w:t>
      </w:r>
    </w:p>
    <w:p w:rsidRPr="003222D5" w:rsidR="003222D5" w:rsidP="003222D5" w:rsidRDefault="003222D5" w14:paraId="5D9A1E38" w14:textId="030CAC01">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Det framhölls att engagemangsformer ofta samexisterar och att utmaningen i hög grad ligger i organisationernas förmåga att fånga upp, vidareutveckla och förankra engagemang som till sin natur är kortare.</w:t>
      </w:r>
    </w:p>
    <w:p w:rsidRPr="003222D5" w:rsidR="003222D5" w:rsidP="003222D5" w:rsidRDefault="003222D5" w14:paraId="7C8644C6"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Formella krav, administration och praktiska hinder</w:t>
      </w:r>
    </w:p>
    <w:p w:rsidRPr="003222D5" w:rsidR="003222D5" w:rsidP="003222D5" w:rsidRDefault="003222D5" w14:paraId="4609587D"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Flera återkommande hinder för engagemang identifierades. Dessa rör bland annat omfattande formalia, administrativa krav och ekonomiska avgifter, vilka kan upplevas som trösklar, särskilt för unga och för personer utan tidigare erfarenhet av föreningsliv. Även digitaliseringen lyftes som både möjlighet och utmaning. Ett ökat antal digitala verktyg och arbetssätt kan skapa flexibilitet men också otydlighet och praktisk komplexitet.</w:t>
      </w:r>
    </w:p>
    <w:p w:rsidRPr="003222D5" w:rsidR="003222D5" w:rsidP="003222D5" w:rsidRDefault="003222D5" w14:paraId="6F949749" w14:textId="77777777">
      <w:pPr>
        <w:spacing w:before="100" w:beforeAutospacing="1" w:after="100" w:afterAutospacing="1" w:line="240" w:lineRule="auto"/>
        <w:rPr>
          <w:rFonts w:eastAsia="Times New Roman" w:cs="Times New Roman"/>
          <w:kern w:val="0"/>
          <w:lang w:eastAsia="sv-SE"/>
          <w14:ligatures w14:val="none"/>
        </w:rPr>
      </w:pPr>
    </w:p>
    <w:p w:rsidRPr="003222D5" w:rsidR="003222D5" w:rsidP="003222D5" w:rsidRDefault="003222D5" w14:paraId="795B2178" w14:textId="21E909EC">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Vidare identifierades bankfrågan som ett strukturellt problem. Krav kopplade till bankkonton, signeringsrutiner och betalningssystem upplevs försvåra föreningsarbete, särskilt vid styrelsebyten och i organisationer med många lokala enheter.</w:t>
      </w:r>
    </w:p>
    <w:p w:rsidRPr="003222D5" w:rsidR="003222D5" w:rsidP="003222D5" w:rsidRDefault="003222D5" w14:paraId="381FF906"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Finansiering, bidragssystem och styrande effekter</w:t>
      </w:r>
    </w:p>
    <w:p w:rsidRPr="003222D5" w:rsidR="003222D5" w:rsidP="003222D5" w:rsidRDefault="003222D5" w14:paraId="68A4BEB7" w14:textId="583C71DD">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Civilsamhället beskrev hur utformningen av offentliga bidrag i hög grad påverkar organisering och engagemang. Projektbaserad finansiering, krav på innovation och korta bidragsperioder skapar osäkerhet och ett återkommande behov av omformulering av verksamhet. Detta upplevs försvåra långsiktigt arbete och att behålla engagemang över tid.</w:t>
      </w:r>
    </w:p>
    <w:p w:rsidRPr="003222D5" w:rsidR="003222D5" w:rsidP="003222D5" w:rsidRDefault="003222D5" w14:paraId="02EB075B" w14:textId="77677D3D">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Det framfördes att bidragssystemen i stor utsträckning är anpassade till traditionella organisationsformer, vilket kan missgynna verksamheter som utvecklar nya sätt att engagera. Samtidigt betonades från det offentliga att transparens och tydliga strukturer är nödvändiga vid användning av offentliga medel.</w:t>
      </w:r>
    </w:p>
    <w:p w:rsidRPr="003222D5" w:rsidR="003222D5" w:rsidP="003222D5" w:rsidRDefault="003222D5" w14:paraId="0D85E296"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Trygghet, företrädarskap och hotbild</w:t>
      </w:r>
    </w:p>
    <w:p w:rsidRPr="003222D5" w:rsidR="003222D5" w:rsidP="003222D5" w:rsidRDefault="003222D5" w14:paraId="4585A7EA" w14:textId="4BA476B9">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Det lyftes att hat och hot mot företrädare påverkar viljan att ta på sig ansvar. Särskilt barn och unga kan avstå från formella uppdrag av rädsla för exponering. Krav på personuppgifter och ökad kontroll upplevs i detta sammanhang som ytterligare hinder för engagemang.</w:t>
      </w:r>
    </w:p>
    <w:p w:rsidRPr="003222D5" w:rsidR="003222D5" w:rsidP="003222D5" w:rsidRDefault="003222D5" w14:paraId="713C5224" w14:textId="2CD03F15">
      <w:pPr>
        <w:spacing w:before="100" w:beforeAutospacing="1" w:after="100" w:afterAutospacing="1" w:line="240" w:lineRule="auto"/>
        <w:outlineLvl w:val="2"/>
        <w:rPr>
          <w:rFonts w:eastAsia="Times New Roman" w:cs="Times New Roman"/>
          <w:i/>
          <w:iCs/>
          <w:kern w:val="0"/>
          <w:sz w:val="28"/>
          <w:szCs w:val="28"/>
          <w:lang w:eastAsia="sv-SE"/>
          <w14:ligatures w14:val="none"/>
        </w:rPr>
      </w:pPr>
      <w:r w:rsidRPr="003222D5">
        <w:rPr>
          <w:rFonts w:eastAsia="Times New Roman" w:cs="Times New Roman"/>
          <w:i/>
          <w:iCs/>
          <w:kern w:val="0"/>
          <w:sz w:val="28"/>
          <w:szCs w:val="28"/>
          <w:lang w:eastAsia="sv-SE"/>
          <w14:ligatures w14:val="none"/>
        </w:rPr>
        <w:t>Fråga 2: Hur kan civilsamhället anpassa sina sätt att organisera engagemang för att möta människors behov av flexibilitet, delaktighet och värderingsdrivet engagemang?</w:t>
      </w:r>
      <w:r w:rsidR="00DF495D">
        <w:rPr>
          <w:rFonts w:eastAsia="Times New Roman" w:cs="Times New Roman"/>
          <w:i/>
          <w:iCs/>
          <w:kern w:val="0"/>
          <w:sz w:val="28"/>
          <w:szCs w:val="28"/>
          <w:lang w:eastAsia="sv-SE"/>
          <w14:ligatures w14:val="none"/>
        </w:rPr>
        <w:br/>
      </w:r>
    </w:p>
    <w:p w:rsidRPr="003222D5" w:rsidR="003222D5" w:rsidP="003222D5" w:rsidRDefault="003222D5" w14:paraId="322833C7"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Fler ingångar och gradvis engagemang</w:t>
      </w:r>
    </w:p>
    <w:p w:rsidRPr="003222D5" w:rsidR="003222D5" w:rsidP="003222D5" w:rsidRDefault="003222D5" w14:paraId="1C27AAD3" w14:textId="3272313C">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Civilsamhället beskrev hur flera organisationer arbetar med att skapa olika ingångar till engagemang. Engagemang kan inledas genom enklare insatser och successivt fördjupas över tid. Instegsaktiviteter och möjligheten att delta utan långsiktiga åtaganden lyftes som viktiga för att sänka trösklar och skapa trygghet.</w:t>
      </w:r>
      <w:r w:rsidR="00D63142">
        <w:rPr>
          <w:rFonts w:eastAsia="Times New Roman" w:cs="Times New Roman"/>
          <w:kern w:val="0"/>
          <w:lang w:eastAsia="sv-SE"/>
          <w14:ligatures w14:val="none"/>
        </w:rPr>
        <w:t xml:space="preserve"> </w:t>
      </w:r>
      <w:r w:rsidRPr="003222D5">
        <w:rPr>
          <w:rFonts w:eastAsia="Times New Roman" w:cs="Times New Roman"/>
          <w:kern w:val="0"/>
          <w:lang w:eastAsia="sv-SE"/>
          <w14:ligatures w14:val="none"/>
        </w:rPr>
        <w:t xml:space="preserve">Det betonades </w:t>
      </w:r>
      <w:r w:rsidR="00D63142">
        <w:rPr>
          <w:rFonts w:eastAsia="Times New Roman" w:cs="Times New Roman"/>
          <w:kern w:val="0"/>
          <w:lang w:eastAsia="sv-SE"/>
          <w14:ligatures w14:val="none"/>
        </w:rPr>
        <w:t xml:space="preserve">även </w:t>
      </w:r>
      <w:r w:rsidRPr="003222D5">
        <w:rPr>
          <w:rFonts w:eastAsia="Times New Roman" w:cs="Times New Roman"/>
          <w:kern w:val="0"/>
          <w:lang w:eastAsia="sv-SE"/>
          <w14:ligatures w14:val="none"/>
        </w:rPr>
        <w:t>att människor ofta engagerar sig när de blir personligen tillfrågade och när engagemanget upplevs som meningsfullt i relation till egna värderingar och livssituation.</w:t>
      </w:r>
    </w:p>
    <w:p w:rsidRPr="003222D5" w:rsidR="003222D5" w:rsidP="003222D5" w:rsidRDefault="003222D5" w14:paraId="38D1206B"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Språkbruk, kultur och maktaspekter</w:t>
      </w:r>
    </w:p>
    <w:p w:rsidRPr="003222D5" w:rsidR="003222D5" w:rsidP="003222D5" w:rsidRDefault="003222D5" w14:paraId="1C948DDB" w14:textId="63015370">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 xml:space="preserve">Det framkom att språk och kultur inom civilsamhället har stor betydelse för delaktighet. Formella begrepp och titlar kan upplevas som avskräckande. Ett mer inkluderande och avdramatiserat språk kan bidra till att fler vågar delta. Även kulturen kring styrelsearbete </w:t>
      </w:r>
      <w:r w:rsidRPr="003222D5">
        <w:rPr>
          <w:rFonts w:eastAsia="Times New Roman" w:cs="Times New Roman"/>
          <w:kern w:val="0"/>
          <w:lang w:eastAsia="sv-SE"/>
          <w14:ligatures w14:val="none"/>
        </w:rPr>
        <w:lastRenderedPageBreak/>
        <w:t>och ansvar diskuterades, där sättet att formulera förfrågningar kan påverka om uppdrag upplevs som möjlighet eller börda.</w:t>
      </w:r>
    </w:p>
    <w:p w:rsidRPr="003222D5" w:rsidR="003222D5" w:rsidP="003222D5" w:rsidRDefault="003222D5" w14:paraId="0A12C981"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Anpassning till vardagsvillkor och livssituation</w:t>
      </w:r>
    </w:p>
    <w:p w:rsidRPr="003222D5" w:rsidR="003222D5" w:rsidP="003222D5" w:rsidRDefault="003222D5" w14:paraId="72A4B035" w14:textId="66F1BD8A">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Civilsamhället beskrev hur engagemang i ökande grad anpassas efter människors vardag, exempelvis genom flexibla tider, möjlighet till digitalt deltagande och utrymme att delta tillsammans med barn. Detta bedömdes som avgörande för att nå grupper som annars riskerar att stå utanför organiserat engagemang.</w:t>
      </w:r>
    </w:p>
    <w:p w:rsidRPr="003222D5" w:rsidR="003222D5" w:rsidP="003222D5" w:rsidRDefault="003222D5" w14:paraId="3308E8CD"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Stödstrukturer och samverkan inom civilsamhället</w:t>
      </w:r>
    </w:p>
    <w:p w:rsidRPr="003222D5" w:rsidR="003222D5" w:rsidP="003222D5" w:rsidRDefault="003222D5" w14:paraId="2C835BE5" w14:textId="7766C21D">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Det framhölls att stöd mellan organisationer, genom nätverk och rådgivande aktörer, är centralt för att stärka kapaciteten i civilsamhället. Samtidigt diskuterades att omfattande kanslistöd och extern hjälp i vissa fall kan minska det egna ansvarstagandet och långsiktigt försvaga organisationsutvecklingen.</w:t>
      </w:r>
    </w:p>
    <w:p w:rsidRPr="003222D5" w:rsidR="003222D5" w:rsidP="003222D5" w:rsidRDefault="003222D5" w14:paraId="4B493495" w14:textId="052E0271">
      <w:pPr>
        <w:spacing w:before="100" w:beforeAutospacing="1" w:after="100" w:afterAutospacing="1" w:line="240" w:lineRule="auto"/>
        <w:outlineLvl w:val="2"/>
        <w:rPr>
          <w:rFonts w:eastAsia="Times New Roman" w:cs="Times New Roman"/>
          <w:i/>
          <w:iCs/>
          <w:kern w:val="0"/>
          <w:sz w:val="28"/>
          <w:szCs w:val="28"/>
          <w:lang w:eastAsia="sv-SE"/>
          <w14:ligatures w14:val="none"/>
        </w:rPr>
      </w:pPr>
      <w:r w:rsidRPr="003222D5">
        <w:rPr>
          <w:rFonts w:eastAsia="Times New Roman" w:cs="Times New Roman"/>
          <w:i/>
          <w:iCs/>
          <w:kern w:val="0"/>
          <w:sz w:val="28"/>
          <w:szCs w:val="28"/>
          <w:lang w:eastAsia="sv-SE"/>
          <w14:ligatures w14:val="none"/>
        </w:rPr>
        <w:t>Fråga 3: På vilka sätt kan staten möta de nya engagemangsformerna, när bör staten vara flexibel och när bör den i stället erbjuda stabilitet?</w:t>
      </w:r>
      <w:r w:rsidR="00DF495D">
        <w:rPr>
          <w:rFonts w:eastAsia="Times New Roman" w:cs="Times New Roman"/>
          <w:i/>
          <w:iCs/>
          <w:kern w:val="0"/>
          <w:sz w:val="28"/>
          <w:szCs w:val="28"/>
          <w:lang w:eastAsia="sv-SE"/>
          <w14:ligatures w14:val="none"/>
        </w:rPr>
        <w:br/>
      </w:r>
    </w:p>
    <w:p w:rsidRPr="003222D5" w:rsidR="003222D5" w:rsidP="003222D5" w:rsidRDefault="003222D5" w14:paraId="52730E85"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Stabilitet som grundförutsättning</w:t>
      </w:r>
    </w:p>
    <w:p w:rsidRPr="003222D5" w:rsidR="003222D5" w:rsidP="003222D5" w:rsidRDefault="003222D5" w14:paraId="75D2B99E" w14:textId="313B3FB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Civilsamhället uttryckte en tydlig förväntan på att staten främst ska bidra med stabila och förutsägbara villkor. Långsiktiga stödformer och tydliga spelregler lyftes som avgörande för planering, kapacitetsuppbyggnad och hållbart engagemang. Korta bidragsperioder och sena besked skapar osäkra arbetsvillkor och försvårar både rekrytering och organisering.</w:t>
      </w:r>
    </w:p>
    <w:p w:rsidRPr="003222D5" w:rsidR="003222D5" w:rsidP="003222D5" w:rsidRDefault="003222D5" w14:paraId="3027EC1E"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Flexibilitet i tillämpning och dialog</w:t>
      </w:r>
    </w:p>
    <w:p w:rsidRPr="003222D5" w:rsidR="003222D5" w:rsidP="003222D5" w:rsidRDefault="003222D5" w14:paraId="5F45B1E7" w14:textId="1FDDF73F">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Samtidigt efterfrågades flexibilitet i hur regelverk tillämpas och hur engagemang mäts. Det framhölls att olika former av engagemang behöver kunna rymmas inom systemen och att kvalitativa bedömningar i vissa fall kan vara ett komplement till kvantitativa mått. Praktiska exempel på lyhördhet från det offentliga lyftes som positiva, där krav justerats när de visat sig vara oproportionerliga.</w:t>
      </w:r>
    </w:p>
    <w:p w:rsidRPr="003222D5" w:rsidR="003222D5" w:rsidP="003222D5" w:rsidRDefault="003222D5" w14:paraId="571B1C49" w14:textId="24412578">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Från regeringens perspektiv betonades samtidigt vikten av tydlighet och rättssäkerhet samt risken för att alltför stor flexibilitet kan uppfattas som godtycklig.</w:t>
      </w:r>
    </w:p>
    <w:p w:rsidRPr="003222D5" w:rsidR="003222D5" w:rsidP="003222D5" w:rsidRDefault="003222D5" w14:paraId="461906B1"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Tillit, bemötande och civilsamhällets egenart</w:t>
      </w:r>
    </w:p>
    <w:p w:rsidRPr="003222D5" w:rsidR="003222D5" w:rsidP="003222D5" w:rsidRDefault="003222D5" w14:paraId="4FEA1346" w14:textId="58EC8106">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En återkommande fråga rörde tilliten mellan civilsamhället och staten. Civilsamhället beskrev en upplevd utveckling mot ökad kontroll och misstänkliggörande, vilket riskerar att undergräva engagemang. Det betonades att civilsamhället inte enbart är en utförare av offentliga uppdrag utan också en demokratisk mötesplats och bärare av värden. Respekt för civilsamhällets mångfald och oberoende lyftes som avgörande.</w:t>
      </w:r>
    </w:p>
    <w:p w:rsidRPr="003222D5" w:rsidR="003222D5" w:rsidP="003222D5" w:rsidRDefault="003222D5" w14:paraId="61F23799"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lastRenderedPageBreak/>
        <w:t>Beredskap, samverkan och relationer över tid</w:t>
      </w:r>
    </w:p>
    <w:p w:rsidRPr="003222D5" w:rsidR="003222D5" w:rsidP="003222D5" w:rsidRDefault="003222D5" w14:paraId="0D0091C9" w14:textId="29D7DAAA">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Diskussionerna berörde även civilsamhällets roll i beredskap och krishantering. Det framhölls att civilsamhället ofta mobiliserar snabbt vid kriser, men att fungerande samverkan förutsätter relationer och strukturer som byggs i fredstid. Samtidigt uttrycktes oro för att förväntningarna på civilsamhällets leverans riskerar att bli orealistiska om grundläggande förutsättningar inte fungerar i vardagen.</w:t>
      </w:r>
    </w:p>
    <w:p w:rsidRPr="003222D5" w:rsidR="003222D5" w:rsidP="003222D5" w:rsidRDefault="003222D5" w14:paraId="69E578E6"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b/>
          <w:bCs/>
          <w:kern w:val="0"/>
          <w:lang w:eastAsia="sv-SE"/>
          <w14:ligatures w14:val="none"/>
        </w:rPr>
        <w:t>Likvärdighet, lokal närvaro och helhetsperspektiv</w:t>
      </w:r>
    </w:p>
    <w:p w:rsidRPr="00C73817" w:rsidR="003222D5" w:rsidP="003222D5" w:rsidRDefault="003222D5" w14:paraId="235C0831" w14:textId="77777777">
      <w:pPr>
        <w:spacing w:before="100" w:beforeAutospacing="1" w:after="100" w:afterAutospacing="1" w:line="240" w:lineRule="auto"/>
        <w:rPr>
          <w:rFonts w:eastAsia="Times New Roman" w:cs="Times New Roman"/>
          <w:kern w:val="0"/>
          <w:lang w:eastAsia="sv-SE"/>
          <w14:ligatures w14:val="none"/>
        </w:rPr>
      </w:pPr>
      <w:r w:rsidRPr="003222D5">
        <w:rPr>
          <w:rFonts w:eastAsia="Times New Roman" w:cs="Times New Roman"/>
          <w:kern w:val="0"/>
          <w:lang w:eastAsia="sv-SE"/>
          <w14:ligatures w14:val="none"/>
        </w:rPr>
        <w:t>Avslutningsvis betonades behovet av att beakta olika lokala förutsättningar och att resurser och stöd når hela landet. Civilsamhället lyfte vikten av gemenskap och av att engagemang kan växa även i mindre sammanhang. Det framhölls att ett helhetsperspektiv krävs i relationen mellan civilsamhället och staten för att långsiktigt stärka demokratin och engagemanget i samhället.</w:t>
      </w:r>
    </w:p>
    <w:p w:rsidRPr="00DF495D" w:rsidR="003222D5" w:rsidP="003222D5" w:rsidRDefault="003222D5" w14:paraId="70322C65" w14:textId="31CB3AF2">
      <w:pPr>
        <w:spacing w:before="100" w:beforeAutospacing="1" w:after="100" w:afterAutospacing="1" w:line="240" w:lineRule="auto"/>
        <w:rPr>
          <w:rFonts w:eastAsia="Times New Roman" w:cs="Times New Roman"/>
          <w:b/>
          <w:bCs/>
          <w:kern w:val="0"/>
          <w:sz w:val="28"/>
          <w:szCs w:val="28"/>
          <w:lang w:eastAsia="sv-SE"/>
          <w14:ligatures w14:val="none"/>
        </w:rPr>
      </w:pPr>
      <w:r w:rsidRPr="00DF495D">
        <w:rPr>
          <w:rFonts w:eastAsia="Times New Roman" w:cs="Times New Roman"/>
          <w:b/>
          <w:bCs/>
          <w:kern w:val="0"/>
          <w:sz w:val="28"/>
          <w:szCs w:val="28"/>
          <w:lang w:eastAsia="sv-SE"/>
          <w14:ligatures w14:val="none"/>
        </w:rPr>
        <w:t xml:space="preserve">Samlad slutsats </w:t>
      </w:r>
    </w:p>
    <w:p w:rsidRPr="00C73817" w:rsidR="00C73817" w:rsidP="00C73817" w:rsidRDefault="00C73817" w14:paraId="5BA7F192" w14:textId="51F51BCE">
      <w:pPr>
        <w:pStyle w:val="p1"/>
        <w:rPr>
          <w:rFonts w:asciiTheme="minorHAnsi" w:hAnsiTheme="minorHAnsi"/>
        </w:rPr>
      </w:pPr>
      <w:r w:rsidRPr="00C73817">
        <w:rPr>
          <w:rFonts w:asciiTheme="minorHAnsi" w:hAnsiTheme="minorHAnsi"/>
        </w:rPr>
        <w:t>Dialogen visade en bred samsyn om att engagemanget i civilsamhället fortsatt är starkt, men att dess former förändras i grunden. Engagemanget tar i ökande grad uttryck genom flexibla, tidsbegränsade och värderingsdrivna insatser, vilket ställer nya krav på hur civilsamhället organiserar sitt arbete och hur det offentliga utformar stöd, styrning och uppföljning.</w:t>
      </w:r>
    </w:p>
    <w:p w:rsidRPr="00C73817" w:rsidR="00C73817" w:rsidP="00C73817" w:rsidRDefault="00C73817" w14:paraId="65A3A132" w14:textId="43388F18">
      <w:pPr>
        <w:pStyle w:val="p1"/>
        <w:rPr>
          <w:rFonts w:asciiTheme="minorHAnsi" w:hAnsiTheme="minorHAnsi"/>
        </w:rPr>
      </w:pPr>
      <w:r w:rsidRPr="00C73817">
        <w:rPr>
          <w:rFonts w:asciiTheme="minorHAnsi" w:hAnsiTheme="minorHAnsi"/>
        </w:rPr>
        <w:t>Civilsamhället efterfrågar större handlingsutrymme att utveckla och kombinera olika engagemangsformer inom ramen för föreningsdemokratin, samt stabila och förutsägbara villkor som möjliggör långsiktighet, kontinuitet och generationsväxling. Regeringen betonar vikten av transparens, ansvarskedjor och rättssäkerhet, men ser samtidigt behov av ökad dialog, kunskapsutveckling och bättre anpassning av stödstrukturer till förändrade engagemangsmönster.</w:t>
      </w:r>
    </w:p>
    <w:p w:rsidRPr="00C73817" w:rsidR="00C73817" w:rsidP="00C73817" w:rsidRDefault="00C73817" w14:paraId="593A27AB" w14:textId="20B851AE">
      <w:pPr>
        <w:pStyle w:val="p1"/>
        <w:rPr>
          <w:rFonts w:asciiTheme="minorHAnsi" w:hAnsiTheme="minorHAnsi"/>
        </w:rPr>
      </w:pPr>
      <w:r w:rsidRPr="00C73817">
        <w:rPr>
          <w:rFonts w:asciiTheme="minorHAnsi" w:hAnsiTheme="minorHAnsi"/>
        </w:rPr>
        <w:t>För att engagemang ska kunna tas till vara i hela sin bredd krävs proportionerliga krav, minskad administrativ börda och en tillämpning som möjliggör både traditionella och nya former för deltagande. Särskilt lyftes behovet av tryggare förutsättningar för företrädarskap, stärkt tillit mellan civilsamhället och staten samt bättre förståelse för civilsamhällets mångfald och lokala förutsättningar.</w:t>
      </w:r>
    </w:p>
    <w:p w:rsidRPr="00C73817" w:rsidR="00C73817" w:rsidP="00C73817" w:rsidRDefault="00C73817" w14:paraId="63C2AA82" w14:textId="77777777">
      <w:pPr>
        <w:pStyle w:val="p1"/>
        <w:rPr>
          <w:rFonts w:asciiTheme="minorHAnsi" w:hAnsiTheme="minorHAnsi"/>
        </w:rPr>
      </w:pPr>
      <w:r w:rsidRPr="00C73817">
        <w:rPr>
          <w:rFonts w:asciiTheme="minorHAnsi" w:hAnsiTheme="minorHAnsi"/>
        </w:rPr>
        <w:t>Sammantaget framträdde en gemensam vilja att stärka engagemangets villkor genom ett förhållningssätt som kombinerar stabilitet och flexibilitet. En sådan utveckling bedöms vara avgörande för att civilsamhället även framöver ska kunna fungera som en central demokratisk arena, bärare av samhällsengagemang och en långsiktig partner i samhällsutvecklingen.</w:t>
      </w:r>
    </w:p>
    <w:p w:rsidRPr="00DF495D" w:rsidR="00D32687" w:rsidRDefault="00C73817" w14:paraId="10D86220" w14:textId="3ED6BA9D">
      <w:pPr>
        <w:rPr>
          <w:b w:val="1"/>
          <w:bCs w:val="1"/>
          <w:sz w:val="28"/>
          <w:szCs w:val="28"/>
        </w:rPr>
      </w:pPr>
      <w:r w:rsidRPr="75E8F9FC" w:rsidR="4BFAC5F7">
        <w:rPr>
          <w:b w:val="1"/>
          <w:bCs w:val="1"/>
          <w:sz w:val="28"/>
          <w:szCs w:val="28"/>
        </w:rPr>
        <w:t>Dialog kring medskick</w:t>
      </w:r>
      <w:r>
        <w:br/>
      </w:r>
    </w:p>
    <w:p w:rsidRPr="00C73817" w:rsidR="00C73817" w:rsidP="55A9646C" w:rsidRDefault="00C73817" w14:paraId="44A9D93E" w14:textId="2C848090">
      <w:pPr>
        <w:pStyle w:val="Normal"/>
        <w:ind w:left="0"/>
        <w:rPr>
          <w:i w:val="1"/>
          <w:iCs w:val="1"/>
        </w:rPr>
      </w:pPr>
      <w:r w:rsidRPr="55A9646C" w:rsidR="4BFAC5F7">
        <w:rPr>
          <w:i w:val="1"/>
          <w:iCs w:val="1"/>
        </w:rPr>
        <w:t>Vad kan civilsamhället göra?</w:t>
      </w:r>
    </w:p>
    <w:p w:rsidRPr="00C73817" w:rsidR="00C73817" w:rsidP="00C73817" w:rsidRDefault="00C73817" w14:paraId="5C54AB90" w14:textId="77777777">
      <w:pPr>
        <w:spacing w:before="100" w:beforeAutospacing="1" w:after="100" w:afterAutospacing="1" w:line="240" w:lineRule="auto"/>
        <w:rPr>
          <w:rFonts w:eastAsia="Times New Roman" w:cs="Times New Roman"/>
          <w:kern w:val="0"/>
          <w:lang w:eastAsia="sv-SE"/>
          <w14:ligatures w14:val="none"/>
        </w:rPr>
      </w:pPr>
      <w:r w:rsidRPr="00C73817">
        <w:rPr>
          <w:rFonts w:eastAsia="Times New Roman" w:cs="Times New Roman"/>
          <w:kern w:val="0"/>
          <w:lang w:eastAsia="sv-SE"/>
          <w14:ligatures w14:val="none"/>
        </w:rPr>
        <w:lastRenderedPageBreak/>
        <w:t>Dialogen visade att civilsamhället har en central roll i att vidareutveckla former för engagemang som svarar mot människors förändrade behov och livssituationer. Detta innefattar att aktivt arbeta med att sänka trösklar till deltagande, erbjuda flera ingångar till engagemang och möjliggöra gradvis fördjupning över tid. Civilsamhället behöver även reflektera över språkbruk, interna kulturer och organisationsformer för att säkerställa att engagemang upplevs som inkluderande, tryggt och meningsfullt.</w:t>
      </w:r>
    </w:p>
    <w:p w:rsidRPr="00C73817" w:rsidR="00C73817" w:rsidP="75E8F9FC" w:rsidRDefault="00C73817" w14:paraId="2C6BCB62" w14:noSpellErr="1" w14:textId="036FE8F7">
      <w:pPr>
        <w:spacing w:before="100" w:beforeAutospacing="on" w:after="100" w:afterAutospacing="on" w:line="240" w:lineRule="auto"/>
        <w:rPr>
          <w:rFonts w:eastAsia="Times New Roman" w:cs="Times New Roman"/>
          <w:kern w:val="0"/>
          <w:lang w:eastAsia="sv-SE"/>
          <w14:ligatures w14:val="none"/>
        </w:rPr>
      </w:pPr>
      <w:r w:rsidRPr="00C73817" w:rsidR="00C73817">
        <w:rPr>
          <w:rFonts w:eastAsia="Times New Roman" w:cs="Times New Roman"/>
          <w:kern w:val="0"/>
          <w:lang w:eastAsia="sv-SE"/>
          <w14:ligatures w14:val="none"/>
        </w:rPr>
        <w:t>Vidare framhölls vikten av att stärka den egna organisatoriska kapaciteten, särskilt inom föreningsdemokrati, ekonomi och ansvarsfördelning. Samverkan och erfarenhetsutbyte inom civilsamhället bedömdes som avgörande, både för att stötta mindre aktörer och för att sprida fungerande arbetssätt. Civilsamhället har också ett ansvar att tydliggöra sitt samhällsbidrag och att formulera sina behov och förutsättningar i dialogen med staten.</w:t>
      </w:r>
      <w:r>
        <w:br/>
      </w:r>
    </w:p>
    <w:p w:rsidRPr="00C73817" w:rsidR="00C73817" w:rsidP="55A9646C" w:rsidRDefault="00C73817" w14:paraId="3E662899" w14:textId="405EBCC7">
      <w:pPr>
        <w:pStyle w:val="Normal"/>
        <w:spacing w:before="100" w:beforeAutospacing="on" w:after="100" w:afterAutospacing="on" w:line="240" w:lineRule="auto"/>
        <w:ind w:left="0"/>
        <w:outlineLvl w:val="3"/>
        <w:rPr>
          <w:rFonts w:eastAsia="Times New Roman" w:cs="Times New Roman"/>
          <w:i w:val="1"/>
          <w:iCs w:val="1"/>
          <w:kern w:val="0"/>
          <w:lang w:eastAsia="sv-SE"/>
          <w14:ligatures w14:val="none"/>
        </w:rPr>
      </w:pPr>
      <w:r w:rsidRPr="55A9646C" w:rsidR="4BFAC5F7">
        <w:rPr>
          <w:rFonts w:eastAsia="Times New Roman" w:cs="Times New Roman"/>
          <w:i w:val="1"/>
          <w:iCs w:val="1"/>
          <w:kern w:val="0"/>
          <w:lang w:eastAsia="sv-SE"/>
          <w14:ligatures w14:val="none"/>
        </w:rPr>
        <w:t xml:space="preserve">Vad </w:t>
      </w:r>
      <w:r w:rsidRPr="55A9646C" w:rsidR="6FC79670">
        <w:rPr>
          <w:rFonts w:eastAsia="Times New Roman" w:cs="Times New Roman"/>
          <w:i w:val="1"/>
          <w:iCs w:val="1"/>
          <w:kern w:val="0"/>
          <w:lang w:eastAsia="sv-SE"/>
          <w14:ligatures w14:val="none"/>
        </w:rPr>
        <w:t xml:space="preserve">kan </w:t>
      </w:r>
      <w:r w:rsidRPr="55A9646C" w:rsidR="4BFAC5F7">
        <w:rPr>
          <w:rFonts w:eastAsia="Times New Roman" w:cs="Times New Roman"/>
          <w:i w:val="1"/>
          <w:iCs w:val="1"/>
          <w:kern w:val="0"/>
          <w:lang w:eastAsia="sv-SE"/>
          <w14:ligatures w14:val="none"/>
        </w:rPr>
        <w:t>staten och offentliga aktörer göra</w:t>
      </w:r>
      <w:r w:rsidRPr="55A9646C" w:rsidR="77427008">
        <w:rPr>
          <w:rFonts w:eastAsia="Times New Roman" w:cs="Times New Roman"/>
          <w:i w:val="1"/>
          <w:iCs w:val="1"/>
          <w:kern w:val="0"/>
          <w:lang w:eastAsia="sv-SE"/>
          <w14:ligatures w14:val="none"/>
        </w:rPr>
        <w:t>?</w:t>
      </w:r>
    </w:p>
    <w:p w:rsidRPr="00C73817" w:rsidR="00C73817" w:rsidP="00C73817" w:rsidRDefault="00C73817" w14:paraId="70303FAF" w14:textId="77777777">
      <w:pPr>
        <w:spacing w:before="100" w:beforeAutospacing="1" w:after="100" w:afterAutospacing="1" w:line="240" w:lineRule="auto"/>
        <w:rPr>
          <w:rFonts w:eastAsia="Times New Roman" w:cs="Times New Roman"/>
          <w:kern w:val="0"/>
          <w:lang w:eastAsia="sv-SE"/>
          <w14:ligatures w14:val="none"/>
        </w:rPr>
      </w:pPr>
      <w:r w:rsidRPr="00C73817">
        <w:rPr>
          <w:rFonts w:eastAsia="Times New Roman" w:cs="Times New Roman"/>
          <w:kern w:val="0"/>
          <w:lang w:eastAsia="sv-SE"/>
          <w14:ligatures w14:val="none"/>
        </w:rPr>
        <w:t>Dialogen pekade på att staten och andra offentliga aktörer i första hand kan bidra genom att skapa stabila och förutsägbara villkor för civilsamhällets engagemang. Detta omfattar långsiktiga stödformer, proportionerliga krav och minskad administrativ börda, särskilt för mindre aktörer. Det offentliga kan även möjliggöra flexibilitet genom en tillämpning av regelverk som tar hänsyn till civilsamhällets mångfald och olika sätt att organisera engagemang.</w:t>
      </w:r>
    </w:p>
    <w:p w:rsidRPr="00C73817" w:rsidR="00C73817" w:rsidP="55A9646C" w:rsidRDefault="00C73817" w14:paraId="16955E22" w14:textId="12B2F57E" w14:noSpellErr="1">
      <w:pPr>
        <w:spacing w:before="100" w:beforeAutospacing="on" w:after="100" w:afterAutospacing="on" w:line="240" w:lineRule="auto"/>
        <w:rPr>
          <w:rFonts w:eastAsia="Times New Roman" w:cs="Times New Roman"/>
          <w:kern w:val="0"/>
          <w:lang w:eastAsia="sv-SE"/>
          <w14:ligatures w14:val="none"/>
        </w:rPr>
      </w:pPr>
      <w:r w:rsidRPr="00C73817" w:rsidR="4BFAC5F7">
        <w:rPr>
          <w:rFonts w:eastAsia="Times New Roman" w:cs="Times New Roman"/>
          <w:kern w:val="0"/>
          <w:lang w:eastAsia="sv-SE"/>
          <w14:ligatures w14:val="none"/>
        </w:rPr>
        <w:t>Betydelsen av ett tillitsbaserat bemötande och tydlig kommunikation betonades. Staten har även en viktig roll i att stärka kunskapen om civilsamhällets villkor inom den egna organisationen och att säkerställa samordning mellan olika politikområden, så att förväntningar på civilsamhällets roll blir samstämmiga och realistiska.</w:t>
      </w:r>
      <w:r>
        <w:br/>
      </w:r>
    </w:p>
    <w:p w:rsidRPr="00C73817" w:rsidR="00C73817" w:rsidP="55A9646C" w:rsidRDefault="00C73817" w14:paraId="7B48EE61" w14:textId="008A2C64">
      <w:pPr>
        <w:pStyle w:val="Normal"/>
        <w:spacing w:before="100" w:beforeAutospacing="on" w:after="100" w:afterAutospacing="on" w:line="240" w:lineRule="auto"/>
        <w:ind w:left="0"/>
        <w:outlineLvl w:val="3"/>
        <w:rPr>
          <w:rFonts w:eastAsia="Times New Roman" w:cs="Times New Roman"/>
          <w:i w:val="1"/>
          <w:iCs w:val="1"/>
          <w:kern w:val="0"/>
          <w:lang w:eastAsia="sv-SE"/>
          <w14:ligatures w14:val="none"/>
        </w:rPr>
      </w:pPr>
      <w:r w:rsidRPr="55A9646C" w:rsidR="4BFAC5F7">
        <w:rPr>
          <w:rFonts w:eastAsia="Times New Roman" w:cs="Times New Roman"/>
          <w:i w:val="1"/>
          <w:iCs w:val="1"/>
          <w:kern w:val="0"/>
          <w:lang w:eastAsia="sv-SE"/>
          <w14:ligatures w14:val="none"/>
        </w:rPr>
        <w:t xml:space="preserve">Vad </w:t>
      </w:r>
      <w:r w:rsidRPr="55A9646C" w:rsidR="44DB867B">
        <w:rPr>
          <w:rFonts w:eastAsia="Times New Roman" w:cs="Times New Roman"/>
          <w:i w:val="1"/>
          <w:iCs w:val="1"/>
          <w:kern w:val="0"/>
          <w:lang w:eastAsia="sv-SE"/>
          <w14:ligatures w14:val="none"/>
        </w:rPr>
        <w:t xml:space="preserve">kan </w:t>
      </w:r>
      <w:r w:rsidRPr="55A9646C" w:rsidR="4BFAC5F7">
        <w:rPr>
          <w:rFonts w:eastAsia="Times New Roman" w:cs="Times New Roman"/>
          <w:i w:val="1"/>
          <w:iCs w:val="1"/>
          <w:kern w:val="0"/>
          <w:lang w:eastAsia="sv-SE"/>
          <w14:ligatures w14:val="none"/>
        </w:rPr>
        <w:t>civilsamhället och staten göra tillsammans</w:t>
      </w:r>
      <w:r w:rsidRPr="55A9646C" w:rsidR="2DCD79D5">
        <w:rPr>
          <w:rFonts w:eastAsia="Times New Roman" w:cs="Times New Roman"/>
          <w:i w:val="1"/>
          <w:iCs w:val="1"/>
          <w:kern w:val="0"/>
          <w:lang w:eastAsia="sv-SE"/>
          <w14:ligatures w14:val="none"/>
        </w:rPr>
        <w:t>?</w:t>
      </w:r>
    </w:p>
    <w:p w:rsidRPr="00C73817" w:rsidR="00C73817" w:rsidP="00C73817" w:rsidRDefault="00C73817" w14:paraId="37EDE9A3" w14:textId="77777777">
      <w:pPr>
        <w:spacing w:before="100" w:beforeAutospacing="1" w:after="100" w:afterAutospacing="1" w:line="240" w:lineRule="auto"/>
        <w:rPr>
          <w:rFonts w:eastAsia="Times New Roman" w:cs="Times New Roman"/>
          <w:kern w:val="0"/>
          <w:lang w:eastAsia="sv-SE"/>
          <w14:ligatures w14:val="none"/>
        </w:rPr>
      </w:pPr>
      <w:r w:rsidRPr="00C73817">
        <w:rPr>
          <w:rFonts w:eastAsia="Times New Roman" w:cs="Times New Roman"/>
          <w:kern w:val="0"/>
          <w:lang w:eastAsia="sv-SE"/>
          <w14:ligatures w14:val="none"/>
        </w:rPr>
        <w:t>Gemensamt framhölls behovet av att utveckla former för kontinuerlig dialog, lärande och samskapande. Genom tidig och regelbunden dialog kan parterna öka förståelsen för varandras uppdrag och förutsättningar, samt gemensamt identifiera hinder och utvecklingsbehov. Det betonades att gemensamma forum kan bidra till ökad tillit, gemensamt språkbruk och bättre förutsättningar för långsiktigt engagemang.</w:t>
      </w:r>
    </w:p>
    <w:p w:rsidRPr="00C73817" w:rsidR="00C73817" w:rsidP="00C73817" w:rsidRDefault="00C73817" w14:paraId="658D2B69" w14:textId="77777777">
      <w:pPr>
        <w:spacing w:before="100" w:beforeAutospacing="1" w:after="100" w:afterAutospacing="1" w:line="240" w:lineRule="auto"/>
        <w:rPr>
          <w:rFonts w:eastAsia="Times New Roman" w:cs="Times New Roman"/>
          <w:kern w:val="0"/>
          <w:lang w:eastAsia="sv-SE"/>
          <w14:ligatures w14:val="none"/>
        </w:rPr>
      </w:pPr>
      <w:r w:rsidRPr="00C73817">
        <w:rPr>
          <w:rFonts w:eastAsia="Times New Roman" w:cs="Times New Roman"/>
          <w:kern w:val="0"/>
          <w:lang w:eastAsia="sv-SE"/>
          <w14:ligatures w14:val="none"/>
        </w:rPr>
        <w:t>Vidare lyftes vikten av att relationer byggs och underhålls över tid och i vardagen, inte enbart i samband med tillfälliga satsningar eller kriser. Ett gemensamt ansvar finns för att säkerställa att engagemang kan tas till vara i hela landet. Genom att kombinera civilsamhällets innovationsförmåga med statens stabilitet kan långsiktiga och inkluderande förutsättningar för engagemang skapas, till gagn för demokratin och samhällsutvecklingen.</w:t>
      </w:r>
    </w:p>
    <w:p w:rsidRPr="00C73817" w:rsidR="00C73817" w:rsidP="00C73817" w:rsidRDefault="00C73817" w14:paraId="7F4C878D" w14:textId="77777777">
      <w:pPr>
        <w:pStyle w:val="p1"/>
        <w:rPr>
          <w:rStyle w:val="apple-converted-space"/>
          <w:rFonts w:asciiTheme="minorHAnsi" w:hAnsiTheme="minorHAnsi" w:eastAsiaTheme="majorEastAsia"/>
          <w:b/>
          <w:bCs/>
        </w:rPr>
      </w:pPr>
      <w:r w:rsidRPr="00C73817">
        <w:rPr>
          <w:rStyle w:val="apple-converted-space"/>
          <w:rFonts w:asciiTheme="minorHAnsi" w:hAnsiTheme="minorHAnsi" w:eastAsiaTheme="majorEastAsia"/>
          <w:b/>
          <w:bCs/>
        </w:rPr>
        <w:t>Helgrupp</w:t>
      </w:r>
      <w:r w:rsidRPr="00C73817">
        <w:rPr>
          <w:rStyle w:val="apple-converted-space"/>
          <w:rFonts w:asciiTheme="minorHAnsi" w:hAnsiTheme="minorHAnsi" w:eastAsiaTheme="majorEastAsia"/>
          <w:b/>
          <w:bCs/>
        </w:rPr>
        <w:t> </w:t>
      </w:r>
    </w:p>
    <w:p w:rsidRPr="00C73817" w:rsidR="00C73817" w:rsidP="00C73817" w:rsidRDefault="00C73817" w14:paraId="1BD3B9EF" w14:textId="66BFD0CD">
      <w:pPr>
        <w:spacing w:after="0" w:line="240" w:lineRule="auto"/>
        <w:rPr>
          <w:rFonts w:ascii=".AppleSystemUIFont" w:hAnsi=".AppleSystemUIFont" w:eastAsia="Times New Roman" w:cs="Times New Roman"/>
          <w:color w:val="0E0E0E"/>
          <w:kern w:val="0"/>
          <w:sz w:val="21"/>
          <w:szCs w:val="21"/>
          <w:lang w:eastAsia="sv-SE"/>
          <w14:ligatures w14:val="none"/>
        </w:rPr>
      </w:pPr>
      <w:r w:rsidRPr="00C73817">
        <w:rPr>
          <w:rFonts w:eastAsia="Times New Roman" w:cs="Times New Roman"/>
          <w:color w:val="0E0E0E"/>
          <w:kern w:val="0"/>
          <w:lang w:eastAsia="sv-SE"/>
          <w14:ligatures w14:val="none"/>
        </w:rPr>
        <w:t xml:space="preserve">Efter gruppdiskussionerna genomfördes en gemensam uppsamling i helgrupp, där respektive grupp redogjorde för sina diskussioner och lyfte centrala iakttagelser och </w:t>
      </w:r>
      <w:r w:rsidRPr="00C73817">
        <w:rPr>
          <w:rFonts w:eastAsia="Times New Roman" w:cs="Times New Roman"/>
          <w:color w:val="0E0E0E"/>
          <w:kern w:val="0"/>
          <w:lang w:eastAsia="sv-SE"/>
          <w14:ligatures w14:val="none"/>
        </w:rPr>
        <w:lastRenderedPageBreak/>
        <w:t>perspektiv.</w:t>
      </w:r>
      <w:r w:rsidRPr="00C73817">
        <w:rPr>
          <w:rFonts w:eastAsia="Times New Roman" w:cs="Times New Roman"/>
          <w:color w:val="0E0E0E"/>
          <w:kern w:val="0"/>
          <w:lang w:eastAsia="sv-SE"/>
          <w14:ligatures w14:val="none"/>
        </w:rPr>
        <w:t xml:space="preserve"> </w:t>
      </w:r>
      <w:r w:rsidRPr="00C73817">
        <w:t>Det gavs en översikt av de huvudsakliga perspektiv, utmaningar och möjligheter som framkommit i dialogerna kring engagemangets förändrade former, civilsamhällets organisering samt statens roll i att skapa stabila och flexibla förutsättningar. Sammanfattningarna visade på både gemensamma beröringspunkter och kompletterande perspektiv mellan grupperna.</w:t>
      </w:r>
    </w:p>
    <w:p w:rsidR="00C73817" w:rsidP="00C73817" w:rsidRDefault="00C73817" w14:paraId="2EF2304A" w14:textId="77777777">
      <w:pPr>
        <w:pStyle w:val="p1"/>
        <w:rPr>
          <w:rFonts w:asciiTheme="minorHAnsi" w:hAnsiTheme="minorHAnsi"/>
        </w:rPr>
      </w:pPr>
      <w:r w:rsidRPr="00C73817">
        <w:rPr>
          <w:rFonts w:asciiTheme="minorHAnsi" w:hAnsiTheme="minorHAnsi"/>
        </w:rPr>
        <w:t xml:space="preserve">Därefter informerade vice ordföranden om inriktningen för PGF 2026. Det framhölls att årets tema har sin utgångspunkt i den årliga villkorsrapporten och att PGF även framöver kommer att arbeta vidare i samma riktning. På uppdrag av NOD:s styrgrupp har ett förslag till förändringar i </w:t>
      </w:r>
      <w:proofErr w:type="spellStart"/>
      <w:r w:rsidRPr="00C73817">
        <w:rPr>
          <w:rFonts w:asciiTheme="minorHAnsi" w:hAnsiTheme="minorHAnsi"/>
        </w:rPr>
        <w:t>PGF:s</w:t>
      </w:r>
      <w:proofErr w:type="spellEnd"/>
      <w:r w:rsidRPr="00C73817">
        <w:rPr>
          <w:rFonts w:asciiTheme="minorHAnsi" w:hAnsiTheme="minorHAnsi"/>
        </w:rPr>
        <w:t xml:space="preserve"> upplägg tagits fram och beslutats. </w:t>
      </w:r>
    </w:p>
    <w:p w:rsidRPr="00C73817" w:rsidR="00C73817" w:rsidP="00C73817" w:rsidRDefault="00C73817" w14:paraId="5FD9885E" w14:textId="6509403C">
      <w:pPr>
        <w:pStyle w:val="p1"/>
        <w:rPr>
          <w:rFonts w:asciiTheme="minorHAnsi" w:hAnsiTheme="minorHAnsi"/>
        </w:rPr>
      </w:pPr>
      <w:r w:rsidRPr="00C73817">
        <w:rPr>
          <w:rFonts w:asciiTheme="minorHAnsi" w:hAnsiTheme="minorHAnsi"/>
        </w:rPr>
        <w:t>Förändringen innebär att det konstituerande möte som tidigare genomförts i början av året inte längre kommer att ingå. Antalet möten per år minskar från fyra till tre, med ett möte senare under våren och två möten under hösten. Samtliga teman kommer även fortsättningsvis att utgå från den årliga villkorsrapporten. Mer information om upplägget för 2026 kommer att kommuniceras i början av året.</w:t>
      </w:r>
    </w:p>
    <w:p w:rsidRPr="00C73817" w:rsidR="00BA6C4A" w:rsidP="00C73817" w:rsidRDefault="00C73817" w14:paraId="2339D674" w14:textId="0758AA40">
      <w:pPr>
        <w:pStyle w:val="p1"/>
        <w:rPr>
          <w:rFonts w:asciiTheme="minorHAnsi" w:hAnsiTheme="minorHAnsi"/>
        </w:rPr>
      </w:pPr>
      <w:r w:rsidRPr="00C73817">
        <w:rPr>
          <w:rFonts w:asciiTheme="minorHAnsi" w:hAnsiTheme="minorHAnsi"/>
        </w:rPr>
        <w:t xml:space="preserve">Presidiet tackades för sitt arbete under året. Mötet avslutades med ett PGF </w:t>
      </w:r>
      <w:proofErr w:type="spellStart"/>
      <w:r w:rsidRPr="00C73817">
        <w:rPr>
          <w:rFonts w:asciiTheme="minorHAnsi" w:hAnsiTheme="minorHAnsi"/>
        </w:rPr>
        <w:t>quiz</w:t>
      </w:r>
      <w:proofErr w:type="spellEnd"/>
      <w:r w:rsidRPr="00C73817">
        <w:rPr>
          <w:rFonts w:asciiTheme="minorHAnsi" w:hAnsiTheme="minorHAnsi"/>
        </w:rPr>
        <w:t xml:space="preserve"> som fungerade som en gemensam återblick på årets arbete. Vinnande lag bestod av representanter från civilsamhället.</w:t>
      </w:r>
    </w:p>
    <w:p w:rsidRPr="00C73817" w:rsidR="00C73817" w:rsidP="00C73817" w:rsidRDefault="00C73817" w14:paraId="770EE3BF" w14:textId="7E788485">
      <w:pPr>
        <w:pStyle w:val="p1"/>
        <w:rPr>
          <w:rFonts w:asciiTheme="minorHAnsi" w:hAnsiTheme="minorHAnsi"/>
          <w:b/>
          <w:bCs/>
        </w:rPr>
      </w:pPr>
      <w:r w:rsidRPr="00C73817">
        <w:rPr>
          <w:rFonts w:asciiTheme="minorHAnsi" w:hAnsiTheme="minorHAnsi"/>
          <w:b/>
          <w:bCs/>
        </w:rPr>
        <w:t xml:space="preserve">Mötet avslutades. </w:t>
      </w:r>
    </w:p>
    <w:sectPr w:rsidRPr="00C73817" w:rsidR="00C7381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4DB4"/>
    <w:multiLevelType w:val="hybridMultilevel"/>
    <w:tmpl w:val="3356DC6A"/>
    <w:lvl w:ilvl="0" w:tplc="96A4BA28">
      <w:start w:val="1"/>
      <w:numFmt w:val="bullet"/>
      <w:lvlText w:val="-"/>
      <w:lvlJc w:val="left"/>
      <w:pPr>
        <w:ind w:left="720" w:hanging="360"/>
      </w:pPr>
      <w:rPr>
        <w:rFonts w:hint="default" w:ascii="Aptos" w:hAnsi="Aptos"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62241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87"/>
    <w:rsid w:val="00064E78"/>
    <w:rsid w:val="00093253"/>
    <w:rsid w:val="000F1C45"/>
    <w:rsid w:val="003222D5"/>
    <w:rsid w:val="00416D83"/>
    <w:rsid w:val="006D33E1"/>
    <w:rsid w:val="00707E74"/>
    <w:rsid w:val="00BA6C4A"/>
    <w:rsid w:val="00C73817"/>
    <w:rsid w:val="00D3004C"/>
    <w:rsid w:val="00D32687"/>
    <w:rsid w:val="00D63142"/>
    <w:rsid w:val="00DF495D"/>
    <w:rsid w:val="00F12D47"/>
    <w:rsid w:val="2DCD79D5"/>
    <w:rsid w:val="44DB867B"/>
    <w:rsid w:val="4BFAC5F7"/>
    <w:rsid w:val="55A9646C"/>
    <w:rsid w:val="6FC79670"/>
    <w:rsid w:val="75E8F9FC"/>
    <w:rsid w:val="77427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E6BC"/>
  <w15:chartTrackingRefBased/>
  <w15:docId w15:val="{306D2AA9-31EA-EF41-8805-64802DDA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D326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unhideWhenUsed/>
    <w:qFormat/>
    <w:rsid w:val="00D326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unhideWhenUsed/>
    <w:qFormat/>
    <w:rsid w:val="00D326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D326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326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326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26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26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2687"/>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D32687"/>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rsid w:val="00D32687"/>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rsid w:val="00D32687"/>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rsid w:val="00D32687"/>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D32687"/>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D32687"/>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D32687"/>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D32687"/>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D32687"/>
    <w:rPr>
      <w:rFonts w:eastAsiaTheme="majorEastAsia" w:cstheme="majorBidi"/>
      <w:color w:val="272727" w:themeColor="text1" w:themeTint="D8"/>
    </w:rPr>
  </w:style>
  <w:style w:type="paragraph" w:styleId="Rubrik">
    <w:name w:val="Title"/>
    <w:basedOn w:val="Normal"/>
    <w:next w:val="Normal"/>
    <w:link w:val="RubrikChar"/>
    <w:uiPriority w:val="10"/>
    <w:qFormat/>
    <w:rsid w:val="00D32687"/>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D32687"/>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D32687"/>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D326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2687"/>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D32687"/>
    <w:rPr>
      <w:i/>
      <w:iCs/>
      <w:color w:val="404040" w:themeColor="text1" w:themeTint="BF"/>
    </w:rPr>
  </w:style>
  <w:style w:type="paragraph" w:styleId="Liststycke">
    <w:name w:val="List Paragraph"/>
    <w:basedOn w:val="Normal"/>
    <w:uiPriority w:val="34"/>
    <w:qFormat/>
    <w:rsid w:val="00D32687"/>
    <w:pPr>
      <w:ind w:left="720"/>
      <w:contextualSpacing/>
    </w:pPr>
  </w:style>
  <w:style w:type="character" w:styleId="Starkbetoning">
    <w:name w:val="Intense Emphasis"/>
    <w:basedOn w:val="Standardstycketeckensnitt"/>
    <w:uiPriority w:val="21"/>
    <w:qFormat/>
    <w:rsid w:val="00D32687"/>
    <w:rPr>
      <w:i/>
      <w:iCs/>
      <w:color w:val="0F4761" w:themeColor="accent1" w:themeShade="BF"/>
    </w:rPr>
  </w:style>
  <w:style w:type="paragraph" w:styleId="Starktcitat">
    <w:name w:val="Intense Quote"/>
    <w:basedOn w:val="Normal"/>
    <w:next w:val="Normal"/>
    <w:link w:val="StarktcitatChar"/>
    <w:uiPriority w:val="30"/>
    <w:qFormat/>
    <w:rsid w:val="00D326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D32687"/>
    <w:rPr>
      <w:i/>
      <w:iCs/>
      <w:color w:val="0F4761" w:themeColor="accent1" w:themeShade="BF"/>
    </w:rPr>
  </w:style>
  <w:style w:type="character" w:styleId="Starkreferens">
    <w:name w:val="Intense Reference"/>
    <w:basedOn w:val="Standardstycketeckensnitt"/>
    <w:uiPriority w:val="32"/>
    <w:qFormat/>
    <w:rsid w:val="00D32687"/>
    <w:rPr>
      <w:b/>
      <w:bCs/>
      <w:smallCaps/>
      <w:color w:val="0F4761" w:themeColor="accent1" w:themeShade="BF"/>
      <w:spacing w:val="5"/>
    </w:rPr>
  </w:style>
  <w:style w:type="paragraph" w:styleId="p2" w:customStyle="1">
    <w:name w:val="p2"/>
    <w:basedOn w:val="Normal"/>
    <w:rsid w:val="00D32687"/>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paragraph" w:styleId="p3" w:customStyle="1">
    <w:name w:val="p3"/>
    <w:basedOn w:val="Normal"/>
    <w:rsid w:val="00D32687"/>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paragraph" w:styleId="p1" w:customStyle="1">
    <w:name w:val="p1"/>
    <w:basedOn w:val="Normal"/>
    <w:rsid w:val="00D32687"/>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character" w:styleId="s1" w:customStyle="1">
    <w:name w:val="s1"/>
    <w:basedOn w:val="Standardstycketeckensnitt"/>
    <w:rsid w:val="003222D5"/>
  </w:style>
  <w:style w:type="paragraph" w:styleId="p4" w:customStyle="1">
    <w:name w:val="p4"/>
    <w:basedOn w:val="Normal"/>
    <w:rsid w:val="003222D5"/>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character" w:styleId="apple-converted-space" w:customStyle="1">
    <w:name w:val="apple-converted-space"/>
    <w:basedOn w:val="Standardstycketeckensnitt"/>
    <w:rsid w:val="00C7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602D5D987C64A924EA0CB47F99209" ma:contentTypeVersion="16" ma:contentTypeDescription="Create a new document." ma:contentTypeScope="" ma:versionID="bc112c1bda5ed164a2f9cda6fa0cbe23">
  <xsd:schema xmlns:xsd="http://www.w3.org/2001/XMLSchema" xmlns:xs="http://www.w3.org/2001/XMLSchema" xmlns:p="http://schemas.microsoft.com/office/2006/metadata/properties" xmlns:ns2="a3c4bb98-fb4c-4bc9-88fd-97fb30240091" xmlns:ns3="bf1ff4dd-5bb5-4d67-9a6c-e0338804f895" targetNamespace="http://schemas.microsoft.com/office/2006/metadata/properties" ma:root="true" ma:fieldsID="eb3d22e48c1f31a03a950cf58fc53b43" ns2:_="" ns3:_="">
    <xsd:import namespace="a3c4bb98-fb4c-4bc9-88fd-97fb30240091"/>
    <xsd:import namespace="bf1ff4dd-5bb5-4d67-9a6c-e0338804f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bb98-fb4c-4bc9-88fd-97fb30240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98bff0-807c-4c4c-990b-5150ea895a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ff4dd-5bb5-4d67-9a6c-e0338804f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246c27-60ea-4923-a562-7e313d086da6}" ma:internalName="TaxCatchAll" ma:showField="CatchAllData" ma:web="bf1ff4dd-5bb5-4d67-9a6c-e0338804f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1ff4dd-5bb5-4d67-9a6c-e0338804f895" xsi:nil="true"/>
    <lcf76f155ced4ddcb4097134ff3c332f xmlns="a3c4bb98-fb4c-4bc9-88fd-97fb302400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FFCF8-3D9F-4F7A-98D7-71849FF4BF2F}"/>
</file>

<file path=customXml/itemProps2.xml><?xml version="1.0" encoding="utf-8"?>
<ds:datastoreItem xmlns:ds="http://schemas.openxmlformats.org/officeDocument/2006/customXml" ds:itemID="{6DD313A0-1EE1-462A-BFB6-ECDC7D6F9C98}"/>
</file>

<file path=customXml/itemProps3.xml><?xml version="1.0" encoding="utf-8"?>
<ds:datastoreItem xmlns:ds="http://schemas.openxmlformats.org/officeDocument/2006/customXml" ds:itemID="{9209066A-D523-4E84-A647-5132BF04DC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Amal M. Omar</dc:creator>
  <keywords/>
  <dc:description/>
  <lastModifiedBy>My Ahlkvist</lastModifiedBy>
  <revision>6</revision>
  <dcterms:created xsi:type="dcterms:W3CDTF">2025-12-12T10:05:00.0000000Z</dcterms:created>
  <dcterms:modified xsi:type="dcterms:W3CDTF">2026-03-06T09:38:15.9451081Z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0x010100E0E602D5D987C64A924EA0CB47F99209</vt:lpwstr>
  </property>
  <property fmtid="{D5CDD505-2E9C-101B-9397-08002B2CF9AE}" pid="3" name="MediaServiceImageTags">
    <vt:lpwstr/>
  </property>
</Properties>
</file>